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108" w:rsidRDefault="00D41108" w:rsidP="00D41108">
      <w:pPr>
        <w:widowControl/>
        <w:jc w:val="center"/>
        <w:rPr>
          <w:rFonts w:ascii="黑体" w:eastAsia="黑体" w:hAnsi="黑体" w:cs="方正小标宋简体" w:hint="eastAsia"/>
          <w:color w:val="000000" w:themeColor="text1"/>
          <w:kern w:val="0"/>
          <w:sz w:val="36"/>
          <w:szCs w:val="36"/>
        </w:rPr>
      </w:pPr>
      <w:r w:rsidRPr="00D41108">
        <w:rPr>
          <w:rFonts w:ascii="黑体" w:eastAsia="黑体" w:hAnsi="黑体" w:cs="方正小标宋简体" w:hint="eastAsia"/>
          <w:color w:val="000000" w:themeColor="text1"/>
          <w:kern w:val="0"/>
          <w:sz w:val="36"/>
          <w:szCs w:val="36"/>
        </w:rPr>
        <w:t>西北农林科技大学</w:t>
      </w:r>
    </w:p>
    <w:p w:rsidR="00000000" w:rsidRPr="00D41108" w:rsidRDefault="00D41108" w:rsidP="00D41108">
      <w:pPr>
        <w:widowControl/>
        <w:jc w:val="center"/>
        <w:rPr>
          <w:rFonts w:ascii="黑体" w:eastAsia="黑体" w:hAnsi="黑体" w:cs="方正小标宋简体" w:hint="eastAsia"/>
          <w:color w:val="000000" w:themeColor="text1"/>
          <w:kern w:val="0"/>
          <w:sz w:val="36"/>
          <w:szCs w:val="36"/>
        </w:rPr>
      </w:pPr>
      <w:r w:rsidRPr="00D41108">
        <w:rPr>
          <w:rFonts w:ascii="黑体" w:eastAsia="黑体" w:hAnsi="黑体" w:cs="方正小标宋简体" w:hint="eastAsia"/>
          <w:color w:val="000000" w:themeColor="text1"/>
          <w:kern w:val="0"/>
          <w:sz w:val="36"/>
          <w:szCs w:val="36"/>
        </w:rPr>
        <w:t>2010年本科教学质量报告</w:t>
      </w:r>
    </w:p>
    <w:p w:rsid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2010年，我校认真贯彻落实《国家中长期教育改革和发展规划纲要（2010-2020年）》、《教育部关于实施“高等学校教学质量和教学改革工程”的意见》、《教育部关于进一步深化本科教学改革，全面提高教学质量的若干意见》及学校第二次党代会精神，紧紧围绕人才培养中心任务，强化教学建设，深化教学改革，积极探索创新人才培养模式，确保了本科教学质量。</w:t>
      </w:r>
    </w:p>
    <w:p w:rsidR="00D41108" w:rsidRPr="00D41108" w:rsidRDefault="00D41108" w:rsidP="00D41108">
      <w:pPr>
        <w:pStyle w:val="1"/>
        <w:spacing w:before="156" w:after="156"/>
        <w:rPr>
          <w:rFonts w:hint="eastAsia"/>
        </w:rPr>
      </w:pPr>
      <w:r w:rsidRPr="00D41108">
        <w:rPr>
          <w:rFonts w:hint="eastAsia"/>
        </w:rPr>
        <w:t>一、学校教育基本概况</w:t>
      </w:r>
    </w:p>
    <w:p w:rsid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我校是教育部直属全国重点大学，为国家“985工程”和“211工程”重点建设高校之一，也是全国设有研究生院的56所高校之一。2010年，学校有国家级重点学科9个（含2个国家重点培育学科），省部级重点学科25个。博士学位授权一级学科11个，二级学科博士学位授权点71个，博士后流动站12个，硕士学位授权点105个，专业学位授权点10个。国家级科研基地9个，省部级科研基地38个，测试、认证、检测、设计等资质机构11个。</w:t>
      </w:r>
    </w:p>
    <w:p w:rsid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学校从1939年开始正式招收本科生，1941年开始招收研究生，形成了从博士后、博士、硕士、本科到专科以及成人教育、职业教育的完备人才培养体系。学校设有22个学院（系、部）和水保所，学科专业涵盖农、理、工、经、管、文、法、哲、史、医、教育等11个学科门类，本科专业64个，国家特色专业建设点12个，省级名牌专业11个，国家级精品课程12门，省级精品课程45门， 国家级双语示范课程1门。国家生命科学与技术人才培养基地2个，国家级人才培养模式创新实验区3个，省级人才培养模式创新实验区7个，国家级实验教学示范中心2个，省级实验教学示范中心7个，校外实践教学基地260个 。</w:t>
      </w:r>
    </w:p>
    <w:p w:rsid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2010年，学校在岗教职工4492名，其中专任教师1522人，教授320人、副教授406人，博士生导师299人、硕士生导师807人。千人计划入选者5人，两院院士2人，长江学者特聘教授1人，长江学者讲座教授2人，教育部创新团队5个，国家级教学名师2人，国家级教学团队5个，国家杰出青年基金获得者3人，国家“百千万人才工程”入选者11人，教育部“新世纪优秀人才支持计划”入选者39人。</w:t>
      </w:r>
    </w:p>
    <w:p w:rsid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2010年，学校到位科研经费3.36亿元，较上年增加30％。52个项目进入国家“十二五”首批农村科技领域预备项目库，居全国农业高校第2位。获国家科学技术进步二等奖1项，陕西省科学技术一等奖4项。培育植物新品种28个，其中国审品种7个，国家发明专利77项。</w:t>
      </w:r>
    </w:p>
    <w:p w:rsid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lastRenderedPageBreak/>
        <w:t>2010年，学校获批各类推广项目150余项，到位经费6616万元，获全国农牧渔业丰收奖3项。新建小麦新品种示范园20个，示范展示小麦品种22个，“西农979”小麦品种2010年在河南省的推广面积已达600万亩。在安徽、江苏等6省区建立油菜新品种示范点100个。集中培训农民、农技人员11300人次，乡镇长以上党政干部1834人次。学校试验站指导的2名农民走进哈佛大学演讲，引起了广泛的社会关注。</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学校与122个国外著名大学和科研机构签订了合作协议。建立了国际合作平台6个，即中美水土保持与环境保护研究中心、 中加旱区农业科技创新中心、中英可持续农业创新协作网、中奥环境保护研究中心、中日杜仲研究所、普渡大学联合研究中心。</w:t>
      </w:r>
    </w:p>
    <w:p w:rsidR="00D41108" w:rsidRDefault="00D41108" w:rsidP="00D41108">
      <w:pPr>
        <w:pStyle w:val="1"/>
        <w:spacing w:before="156" w:after="156"/>
        <w:rPr>
          <w:rFonts w:hint="eastAsia"/>
        </w:rPr>
      </w:pPr>
      <w:r w:rsidRPr="00D41108">
        <w:rPr>
          <w:rFonts w:hint="eastAsia"/>
        </w:rPr>
        <w:t>二、</w:t>
      </w:r>
      <w:r w:rsidRPr="00D41108">
        <w:rPr>
          <w:rFonts w:hint="eastAsia"/>
        </w:rPr>
        <w:t>2010</w:t>
      </w:r>
      <w:r w:rsidRPr="00D41108">
        <w:rPr>
          <w:rFonts w:hint="eastAsia"/>
        </w:rPr>
        <w:t>年提高本科教育质量的主要措施</w:t>
      </w:r>
    </w:p>
    <w:p w:rsidR="00D41108" w:rsidRPr="00D41108" w:rsidRDefault="00D41108" w:rsidP="00D41108">
      <w:pPr>
        <w:pStyle w:val="2"/>
        <w:spacing w:before="62" w:after="62"/>
        <w:rPr>
          <w:rFonts w:hint="eastAsia"/>
        </w:rPr>
      </w:pPr>
      <w:r w:rsidRPr="00D41108">
        <w:rPr>
          <w:rFonts w:hint="eastAsia"/>
        </w:rPr>
        <w:t>（一）召开全校工作会议，明确本科教学改革思路</w:t>
      </w:r>
    </w:p>
    <w:p w:rsid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胡锦涛总书记在全国教育工作会议上的讲话中指出：“深化教育体制改革，关键是更新教育观念，核心是改革人才培养体制，目的是提高人才培养水平。”学校通过组织全校师生学习《国家中长期教育改革和发展规划纲要（2010—2020年）》，对我校的人才培养工作进行了全面的审视和思考，进一步凝练了教育教学理念，提出了“以学生为主体，以教师为主导，树立‘以人为本’的教育服务意识”，“厚基础、宽口径”，“重人品、强素质”，“因材施教、分类培养”，“重视实践、发展特色”等教育教学理念，对我校的人才培养发挥了积极作用。</w:t>
      </w:r>
    </w:p>
    <w:p w:rsid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2010年初，学校召开了第二次党代会，明确提出了创建世界一流农业大学的战略目标，正式确立了“三步走”的发展战略，即到2034年建校一百周年之际，初步建成以产学研紧密结合为特色的世界一流农业大学。为此，学校认为必须坚持以农立校，农科教、产学研紧密结合，进一步突出学校的办学特色；必须从中国具体国情出发，在解决农业问题的实践中实现“高水平”；必须坚持用现代生物技术提升传统大农学科，加快推进学科间的交叉融合；坚持用国际标准衡量我们的学科水平，向国际前沿靠拢。按照学校 “三步走”的战略，未来五年主要任务是汇聚人才、夯实基础，在这一阶段性目标指导下，校党委提出了当前的六项重要任务：一是人才强校，二是学科建设，三是人才培养，四是提升自主创新能力，五是进一步提高国际化水平，六是拓展社会服务功能。7月份，学校召开暑期教学工作务虚会，围绕“人才、质量、管理”主题，就学生动手能力和创新意识培养，创新人才培养模式和教师业务能力提升等进行了深入讨论，明晰了近期本科教学改革的思路和举措，即以实践创新能力培养为突破口，全面提升本科教育教学质量。</w:t>
      </w:r>
    </w:p>
    <w:p w:rsidR="00D41108" w:rsidRPr="00D41108" w:rsidRDefault="00D41108" w:rsidP="00D41108">
      <w:pPr>
        <w:pStyle w:val="2"/>
        <w:spacing w:before="62" w:after="62"/>
        <w:rPr>
          <w:rFonts w:asciiTheme="minorEastAsia" w:hAnsiTheme="minorEastAsia" w:cs="仿宋_GB2312" w:hint="eastAsia"/>
          <w:color w:val="000000" w:themeColor="text1"/>
          <w:sz w:val="24"/>
          <w:szCs w:val="24"/>
        </w:rPr>
      </w:pPr>
      <w:r w:rsidRPr="00D41108">
        <w:rPr>
          <w:rFonts w:hint="eastAsia"/>
        </w:rPr>
        <w:lastRenderedPageBreak/>
        <w:t>（二）加强师资队伍建设，提升教师教学水平</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我校通过自身培养和外部引进，不断加强加快师资队伍建设，通过强化教师培训提高教师教学技能，通过建立具有我校自身特色的竞争激励机制促进师资队伍在竞争中发展，在激励中提高，初步形成了一支高水平的师资队伍。</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1．大力推进人才强校战略，不断提高教师队伍建设水平。学校积极创造条件，加大投入，采取“引进、培养、提高”相结合的一系列措施，加强师资队伍建设，努力在提高教师整体素质上下功夫。2010年，学校落实“人才强校计划”相关项目及专项经费共6600万元，选派125名教师参加国内外研修，其中出国研修55人，引进高层次人才33人（全部为国外著名的大学或科研机构博士、博士后），其中“国家千人计划”入选者4人。选留国内“985工程”、“211工程”大学优秀博士毕业生54人，补充师资队伍。</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2．采取行之有效的措施，优化教师结构。对师资紧缺学科、传统优势学科、新增专业等制订优惠政策加快人才引进，基本建成了一支数量适度、素质优良、结构合理、梯队完善、相对稳定的师资队伍。截止2010年底，学校专任教师博士学位比例为37.3%，较上年提高了5个百分点。获批教育部创新团队1个，入选陕西省“百人计划”2人。获批国家级教学团队2个，获批省级教学团队2个；2人被评为省级教学名师。遴选“后稷学者”特聘教授3人、讲座教授10人，创新团队4个，拔尖人才6人，教学名师4人。学校确保教学一线的师资配备，全校教授、副教授100%承担了本科教学任务，教学质量得到学生们的肯定。</w:t>
      </w:r>
    </w:p>
    <w:p w:rsid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3．学校积极开展各种活动，不断提高教师的教学水平。学校集中进行了系统的新教师岗前培训，并组织他们到学校试验站（示范基地）实地考察，使他们尽快了解学校的各项规章制度，适应、熟悉学校的工作及生活环境，尽快掌握先进的教学理念、教学方法和教学手段。学校坚持组织开展一年一度的青年教师讲课比赛，在全校掀起了人人争做教学标兵的良好氛围，对提升青年教师的教学基本功起到了促进作用。学校在坚持“学生评教”活动的基础上，今年首次开展了对晋升高级专业技术职务教师的教学水平评价工作，有效地促进了教师教学水平的持续提高。</w:t>
      </w:r>
    </w:p>
    <w:p w:rsidR="00D41108" w:rsidRPr="00D41108" w:rsidRDefault="00D41108" w:rsidP="00D41108">
      <w:pPr>
        <w:pStyle w:val="2"/>
        <w:spacing w:before="62" w:after="62"/>
        <w:rPr>
          <w:rFonts w:hint="eastAsia"/>
        </w:rPr>
      </w:pPr>
      <w:r w:rsidRPr="00D41108">
        <w:rPr>
          <w:rFonts w:hint="eastAsia"/>
        </w:rPr>
        <w:t>（三）深化本科教学改革与建设，全面推进素质教育</w:t>
      </w:r>
    </w:p>
    <w:p w:rsid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我校始终坚持质量立校，以培养社会主义现代化建设人才为第一要务。坚持育人为本，不断进行教学改革、教育创新和教育教学观念创新，教学改革效果显著。</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1．构建课程教学新体系，突出创新人才培养的特点</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创新人才培养模式是培养学生适应社会经济发展需要能力的核心。学校非常重视创新人才培养，2008年成立了创新实验学院，以国家创新人才培养实验区</w:t>
      </w:r>
      <w:r w:rsidRPr="00D41108">
        <w:rPr>
          <w:rFonts w:asciiTheme="minorEastAsia" w:hAnsiTheme="minorEastAsia" w:cs="仿宋_GB2312" w:hint="eastAsia"/>
          <w:color w:val="000000" w:themeColor="text1"/>
          <w:kern w:val="0"/>
          <w:sz w:val="24"/>
          <w:szCs w:val="24"/>
        </w:rPr>
        <w:lastRenderedPageBreak/>
        <w:t>为载体，实施“2+X”人才培养模式，构建了与之相应的“两段三阶多模块”的人才培养方案及课程体系，搭建了“素质拓展教育”与“创新能力拓展训练”等特色教学平台，在教学管理上，试行“教学约定制度”，组建了新的“课程教学团队”，不断探索符合创新人才培养要求的新课程和新模式并在其他专业予以推广应用。</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2010年，学校获批承担了国家教育体制改革试点项目即“以提高创新实践能力为突破口，探索构建农业高校创新人才培养新模式”，在校内7个学院的7个本科专业进行人才培养模式改革试点。充分依靠和发挥试点专业学院教授委员会的作用，要求根据行业和社会对人才的需求，在突出我校产学研紧密结合办学特色，贯彻“学思结合，知行统一，因材施教”的原则，认真研究，重新审定试点专业的人才培养方案，进一步明确试点专业的定位和培养目标，瞄准现代科学技术，突出学生实践动手能力和创新能力培养。</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2．专业建设与课程建设成绩突出</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学校遵循“发挥优势，突出特色，树立名牌，全面建设与重点建设相结合”原则，坚持从满足经济社会发展需求出发，注重依托优势学科拓展专业内涵，利用现代科学技术对传统优势专业进行改造，强化特色，推行了以名牌、特色专业建设带动专业总体水平提高的战略。2010年，2个本科专业获批国家级特色专业；3个本科专业获批省级特色专业。</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在课程建设方面，学校继续加大课程建设力度，组织好各级精品课程的申报，2010年度获评国家级精品课程5门，获评省级精品课程5门，获奖总数为历年最多，这是我校在课程建设方面取得的重大突破。为加快优质教育资源的开发、应用与共享，推进学校教育信息化建设，改进教学方法和手段，提高教学效果，学校决定开展“千门课程上网工程”建设工作，计划用三年时间，使全校三千门次课程实现网络辅助教学，建设融教学研究与教学过程为一体的教学资源丰富、师生可以互动交流的网络辅助教学综合平台，提高我校本科教育教学质量。</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在教材建设方面，我校一方面抓好教材编写的规范工作，组织我校2010年度教材编写工作，全年共主编出版教材32部，其中国家级规划教材6部，行业规划教材16部。一方面抓好精品教材建设，组织我校教师申报国家和行业出版社精品教材建设项目。共申报各出版社 “十二五”规划教材60部。</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3．实践教学改革有了新的进展</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我校从社会对拔尖创新人才的要求及研究型大学自身发展的现实需要出发，结合学校产学研紧密结合的办学特色，2010年出台了《关于加强实践教学改革的指导意见》，结合2008版人才培养方案的修订，构建了新的实践教学体系，同时提出了各专业实践教学的培养目标和改革方向，对促进学生适应现代农业发</w:t>
      </w:r>
      <w:r w:rsidRPr="00D41108">
        <w:rPr>
          <w:rFonts w:asciiTheme="minorEastAsia" w:hAnsiTheme="minorEastAsia" w:cs="仿宋_GB2312" w:hint="eastAsia"/>
          <w:color w:val="000000" w:themeColor="text1"/>
          <w:kern w:val="0"/>
          <w:sz w:val="24"/>
          <w:szCs w:val="24"/>
        </w:rPr>
        <w:lastRenderedPageBreak/>
        <w:t>展对实践能力和创新精神的要求，提高学生运用现代科技、适应社会和国际竞争的能力，推进我校拔尖创新人才培养模式的改革发挥了重要作用。</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不断完善和深化实践教学内容改革，认真做好综合教学实习的组织工作。组织2009级18个专业56个班级1690多人开展了为期一周、持续1个月的生物学综合实习。组织全校一年级学生5050人进行了工程训练。在总结去年暑期集中实践教学的基础上，全面协调，精心安排，认真开展了全校本科07、08级学生暑期集中实践教学活动，全年全校完成实践教学任务17.6万人时数。</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4．以教改立项推动教学改革</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学校坚持以教学研究推动教学改革，以教学改革促进教学实践，不断创新教学改革研究项目。为使教学改革有序进行并深入开展，我校组织进行了对已获批的5个省级教学研究改革项目的开题工作，并顺利通过省专家组的验收。组织开展了在研的170个校级教改项目的中期检查工作。各级教改立项工作的开展进一步推动了我校教育教学观念的创新和教学质量、教学水平的提高。</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5．不断完善教学质量保障体系</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我校建立了健全的教学质量保障体系，建立了处级以上干部听课制度、教学督导制度、学生教学信息员制度、学生评教制度、实习跟踪检查制度、教学副院长例会制度、教学管理干部联系学院制度，及时协调和解决教学运行中存在问题，保证了教学工作的正常运行。通过开展试卷、毕业论文、作业、实验报告、实习报告等专项检查，有效地促进了教学质量的不断提高。2010年度修订了《教学委员会工作条例》，建立了教学秘书例会制度，进一步健全了校院两级管理运行机制。</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不断加强考试管理力度，建立从规章制度学习、诚信教育、警示教育、监考、巡视到违纪处理的全过程考试管理体系。考试前专门召集学院分管教学副院长召开考风考纪专题会议，细致筹划监考培训会，强化巡视员制度，提升监考教师的责任心，考试组织规范，秩序良好。</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对于学籍管理工作的关键环节，形成了由教务处、纪检委等多部门共同监督的机制。坚持标准、把握条件、严格程序，按规定严格、认真审查毕业生资格和学位资格。2010届毕业生中符合毕业条件的有4403人，结业28人，有4239人被授予学士学位，授予率为96.27%。坚持教务处长为新生宣讲学籍管理制度，并对学生关心的问题进行重点答疑，使新生对“本科生学籍管理规定”有了较为清晰的认识与理解，取得了良好效果。</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到目前为止，我校建立起了形式多样的多层次本科教学质量保障体系，有力地保障了我校本科教学，进一步提升了我校的教学质量和教学水平，得到了广大师生的高度肯定。</w:t>
      </w:r>
    </w:p>
    <w:p w:rsidR="00D41108" w:rsidRPr="00D41108" w:rsidRDefault="00D41108" w:rsidP="00D41108">
      <w:pPr>
        <w:pStyle w:val="2"/>
        <w:spacing w:before="62" w:after="62"/>
        <w:rPr>
          <w:rFonts w:hint="eastAsia"/>
        </w:rPr>
      </w:pPr>
      <w:r w:rsidRPr="00D41108">
        <w:rPr>
          <w:rFonts w:hint="eastAsia"/>
        </w:rPr>
        <w:lastRenderedPageBreak/>
        <w:t>（四）推进国际化办学，培养学生国际意识</w:t>
      </w:r>
    </w:p>
    <w:p w:rsid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2010年，学校成立了国际学院，新招收留学生37名，在校留学生数量超过百名。全年与22所国外大学和科研机构签订了校际合作协议。举办高水平国际学术会议9次、学术报告会283场，来校外国专家1400人次，较上年增加了40%，短期出国交流访问或合作研究375人次。成功举办了“2010杨凌国际农业科技论坛”。国家公派研究生项目录取165人，其中攻读博士学位110人。</w:t>
      </w:r>
    </w:p>
    <w:p w:rsid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全校共有88名本科学生出国访问、留学、参加国际会议等，其中10名学生出国攻读学士学位（参加“2+2”项目），18名学生出国攻读硕士学位，4名学生出国参加国际会议、14人赴美国进行带薪实习，12名学生出国参加导师的合作科研或联合培养。</w:t>
      </w:r>
    </w:p>
    <w:p w:rsidR="00D41108" w:rsidRDefault="00D41108" w:rsidP="00D41108">
      <w:pPr>
        <w:pStyle w:val="2"/>
        <w:spacing w:before="62" w:after="62"/>
        <w:rPr>
          <w:rFonts w:asciiTheme="minorEastAsia" w:hAnsiTheme="minorEastAsia" w:cs="仿宋_GB2312" w:hint="eastAsia"/>
          <w:color w:val="000000" w:themeColor="text1"/>
          <w:sz w:val="24"/>
          <w:szCs w:val="24"/>
        </w:rPr>
      </w:pPr>
      <w:r w:rsidRPr="00D41108">
        <w:rPr>
          <w:rFonts w:hint="eastAsia"/>
        </w:rPr>
        <w:t>（五）加强教学基本条件建设，为本科教学提供优质教育资源</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2010年新增校园建筑面积7.1万平方米、绿化面积2.1万平方米，在北校区开工建设4万多平方米的理科综合大楼，进展顺利。新球类塑胶运动场面积由原来的1.6万平方米增加到3万多平方米。投入3328.3万元改善实验教学条件，使我校基础实验教学的水平大大提高。投入3568万元用于科学研究仪器设备建设，投入300万元改善6个试验站基础及硬件设施，提升了科研实验室、试验站服务本科教学的水平。采购中文图书12138种，51003册；原版外文期刊162种、影印外刊28种；中文期刊2013种4207份，报纸119种243份；新增4个数据库，分别为CA（网络版）（SciFinder Scholar）、Wiley-Blackwell全文数据库、ProQuest博硕士论文全文数据库和SSCI。完成中文图书编目9394种，41008册；外文图书编目345种，1157册；中文期刊43000多册，外刊1400多册。同时，学校重视学生的奖励与资助，全年12230人次学生获得各类奖励、资助3657万元，受奖助学生占在校学生的56%。完成“数字校园”二期建设，科技文献保障能力大大增强，校外场站支撑服务功能逐步完善，后勤服务质量不断提高。</w:t>
      </w:r>
    </w:p>
    <w:p w:rsidR="00D41108" w:rsidRPr="00D41108" w:rsidRDefault="00D41108" w:rsidP="00D41108">
      <w:pPr>
        <w:pStyle w:val="2"/>
        <w:spacing w:before="62" w:after="62"/>
        <w:rPr>
          <w:rFonts w:hint="eastAsia"/>
        </w:rPr>
      </w:pPr>
      <w:r w:rsidRPr="00D41108">
        <w:rPr>
          <w:rFonts w:hint="eastAsia"/>
        </w:rPr>
        <w:t>（六）实施大学生学科竞赛与科技创新，培养学生创新意识</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学校鼓励大学生积极参加各类学科竞赛，在竞赛中增长才干，在竞赛中孕育创新。2010年度组织学生参加了全国大学生英语竞赛、校第四届计算机程序设计大赛、校2010年数学建模竞赛、2010年全国大学生数学建模竞赛、陕西省第八届全国高数竞赛、第九届全国大学生英语演讲比赛、2010陕西省力学竞赛、第五届 “挑战杯”大学生创业计划竞赛，第三届节能减排社会实践与科技竞赛等活动。各类学科竞赛参赛学生人数达 3841人次，为历年参赛人数最多。</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我校高度重视广大学生学术研究能力的培养和提高，组织学生积极参与科研活动。学校每年设立专项资金200万元，实施了“大学生创新性实验计划”，择优资助本科生创新实验项目，通过组织本科生参加科技创新活动，突出学生个性</w:t>
      </w:r>
      <w:r w:rsidRPr="00D41108">
        <w:rPr>
          <w:rFonts w:asciiTheme="minorEastAsia" w:hAnsiTheme="minorEastAsia" w:cs="仿宋_GB2312" w:hint="eastAsia"/>
          <w:color w:val="000000" w:themeColor="text1"/>
          <w:kern w:val="0"/>
          <w:sz w:val="24"/>
          <w:szCs w:val="24"/>
        </w:rPr>
        <w:lastRenderedPageBreak/>
        <w:t>发展、激发其学术兴趣，调动他们的学习积极性和创造性，加强创新意识与能力、科学研究和新技术应用能力的培养，为优秀人才的脱颖而出创造条件。2010年度共资助校级大学生创新性实验计划项目497项，获批国家级项目40项。</w:t>
      </w:r>
    </w:p>
    <w:p w:rsidR="00D41108" w:rsidRPr="00D41108" w:rsidRDefault="00D41108" w:rsidP="00D41108">
      <w:pPr>
        <w:pStyle w:val="2"/>
        <w:spacing w:before="62" w:after="62"/>
        <w:rPr>
          <w:rFonts w:asciiTheme="minorEastAsia" w:hAnsiTheme="minorEastAsia" w:cs="仿宋_GB2312" w:hint="eastAsia"/>
          <w:color w:val="000000" w:themeColor="text1"/>
          <w:sz w:val="24"/>
          <w:szCs w:val="24"/>
        </w:rPr>
      </w:pPr>
      <w:r w:rsidRPr="00D41108">
        <w:rPr>
          <w:rFonts w:hint="eastAsia"/>
        </w:rPr>
        <w:t>（七）推进大学生社会实践活动，增强学生社会责任感</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1．以志愿服务为切入点，培养大学生社会实践能力。2010年寒暑假开展了以“服务新农村，建设新家园”为主题的“万名学子进万村”寒暑期文化、科技、卫生“三下乡”社会实践志愿服务活动和WWF秦岭青年使者活动，集中组织44支服务队奔赴全国各地开展志愿者服务活动，我校赴榆林女子民兵连治沙服务队等4支服务队获得陕西省社会实践优秀服务队，李婧等4人荣获陕西省社会实践先进个人，学校获得陕西省社会实践优秀组织单位；杨凌农高会期间，组织500名志愿者在各场馆担任解说、翻译、服务等工作，受到了国内外来宾的广泛认可和高度赞扬。22名大学生参加大学生志愿服务西部计划。</w:t>
      </w:r>
    </w:p>
    <w:p w:rsid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 xml:space="preserve">2．本科生与博硕士研究生共同组建服务队，增强学生了解“三农”、服务“三农”意识。专门组织赴秦岭支农服务团等多支科技支农社会实践服务团队，取得显著效果，受到当地群众的一致好评。同时，还积极发挥我校科技产业示范基地的带动作用，组建了西北农林科技大学“白水苹果”调研实践服务队、赴渭南服务队等，开展农民培训、专题讲座、实地调研，传播推广农业实用技术，为推进当地农业结构调整和经济发展做出了贡献。还联合杨凌区委组织部、杨陵区团委选聘178名大学生担任杨凌周边农村的村主任助理，参与当地新农村建设，服务地方经济发展。由我校推荐的《开辟实践育人的新平台 在服务“三农”中成长成才——西北农林科技大学开展大学生村主任助理活动的探索与实践》荣获陕西省校园文化建设优秀成果一等奖，全国高校校园文化建设优秀成果三等奖。 　　</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3．建立大学生社会实践基地，为广大同学长期服务“三农”提供保障。我校各学院结合专业优势和地方经济发展的特点，与学校周边地区的一个行政村、学校、企业挂钩，建立相对稳定的社会实践基地。2010年，我校新增大学生社会实践基地10个，从而使“大学生社会实践活动基地”总数达到60多个。通过基地，使大学生社会实践活动项目化、长期化、阵地化有了充分的保证，学院以其科技优势帮助农村、企业解决生产中的实际问题，农村、企业又给大学生提供了长期的了解社会、锻炼自己的舞台，同时也提高了农林院校社会实践的效益，实现了双方的“共赢”。</w:t>
      </w:r>
    </w:p>
    <w:p w:rsidR="00D41108" w:rsidRPr="00D41108" w:rsidRDefault="00D41108" w:rsidP="00D41108">
      <w:pPr>
        <w:widowControl/>
        <w:adjustRightInd w:val="0"/>
        <w:snapToGrid w:val="0"/>
        <w:spacing w:line="400" w:lineRule="exact"/>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b/>
          <w:bCs/>
          <w:color w:val="000000" w:themeColor="text1"/>
          <w:kern w:val="0"/>
          <w:sz w:val="24"/>
          <w:szCs w:val="24"/>
        </w:rPr>
        <w:t>三、积极教学效果分析</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由于思想重视、思路正确、措施得力，近年来，学生的学习积极性得到充分调动，综合素质和深灰责任感不断加强，人才培养质量逐步提高。</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lastRenderedPageBreak/>
        <w:t>1．本科生源质量不断提高。2010年本科第一志愿录取率高达99.9%。有15个省份的录取最低分高出一本线10分以上，27个省份的录取平均分超出该省的一本线10分以上。其中，男生占实际录取的55.3%，女生占44.7%；应届考生占实际录取的64.9%，往届考生占35.1%；城镇考生占实际录取的43.6%，农村考生占56.4%；少数民族考生440名；新生中共党员33名，团员5259名；三好学生和优秀学生干部136名。</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2．学生科技竞赛创新能力不断提升。2010年参加学科竞赛的共有403人获奖，其中：省级特等奖1人；省级一等奖41人；省级二等奖60；省级三等奖73人。学生通过创新性试验计划项目研究，申请专利41项，发表论文29篇，其中19篇核心期刊、4篇被EI收录。在第七届“挑战杯”中国大学生创业计划竞赛中，有2件学生作品获铜奖；在全国大学生社会实践与科技竞赛、中国机器人大赛、全国青年科技创新竞赛等活动中，有8件学生作品获奖；在第五届西安高新“挑战杯”陕西省大学生创业计划竞赛中，有11件作品获奖，创下了我校在此项赛事获奖数量的新高；在西安市大学生创新创业竞赛中有6件作品获奖，其中一件作品获得2万元的项目孵化资助基金。我校学生的作品呈现出获奖作品多、奖项高的特点，充分显示了我校学生较强的创新能力。</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3．毕业生具有较强的社会竞争力。多年来我校的就业率维持在较高水平，就业质量、层次不断提升。2010年本科生就业率为93.66％，其中进入高等院校或科研单位的占28.63%，考取研究生的28.63%，出国留学的0.58%，进入中国500强企业的占17.63%，进入世界500强企业的占8.85%。</w:t>
      </w:r>
    </w:p>
    <w:p w:rsidR="00D41108" w:rsidRPr="00D41108" w:rsidRDefault="00D41108" w:rsidP="00D41108">
      <w:pPr>
        <w:pStyle w:val="1"/>
        <w:spacing w:before="156" w:after="156"/>
        <w:rPr>
          <w:rFonts w:hint="eastAsia"/>
        </w:rPr>
      </w:pPr>
      <w:r w:rsidRPr="00D41108">
        <w:rPr>
          <w:rFonts w:hint="eastAsia"/>
        </w:rPr>
        <w:t>四、存在主要问题及今后工作的基本思路</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1．存在的主要问题</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一是教育观念还需不断更新，进一步树立起科学的发展观、人才观、质量观，并以此指导和推进人才培养模式、教学内容与课程体系等各项教学改革。二是专业内涵建设还需进一步加强。专业的软硬件建设仍需紧跟社会经济发展现状，部分专业的特色和办学优势还不够明显。三是教学改革的力度有待加大。教学改革的广度、深度还需进一步拓展。四是教风学风问题依然存在。少数教师教学精力投入不足，教学方法偏于呆板，对学生缺少关爱。少数学生学习不够主动，积极性不高，上课迟到、旷课现象依然存在。</w:t>
      </w:r>
    </w:p>
    <w:p w:rsid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2．今后工作基本思路</w:t>
      </w:r>
    </w:p>
    <w:p w:rsid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（1）筹备召开2012年学校教学工作会议，深入调研本科教学工作实际，创新教育教学观念，提出更为有效的提升教学质量的措施。</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（2）深入推进“质量工程”建设，进一步完善本科人才培养方案，更加突出学生实践和创新能力培养。</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lastRenderedPageBreak/>
        <w:t>（3）创新人才培养模式，推进通识教育和专业教育有效结合，进一步完善“宽口径、厚基础”的本科培养机制。</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（4）加强教学组织和课程建设，进一步强化学院（系）教研室（组）建设，完善基层教学组织管理与运行。</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（5）加强教学条件建设，推进教学信息化，实施好“千门课程上网工程”，推进教学资源的共享与开放。</w:t>
      </w:r>
    </w:p>
    <w:p w:rsidR="00D41108" w:rsidRPr="00D41108" w:rsidRDefault="00D41108" w:rsidP="00D41108">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D41108">
        <w:rPr>
          <w:rFonts w:asciiTheme="minorEastAsia" w:hAnsiTheme="minorEastAsia" w:cs="仿宋_GB2312" w:hint="eastAsia"/>
          <w:color w:val="000000" w:themeColor="text1"/>
          <w:kern w:val="0"/>
          <w:sz w:val="24"/>
          <w:szCs w:val="24"/>
        </w:rPr>
        <w:t>（6）扩大对外合作办学，通过引进国外优质教育资源和开展联合培养，提高人才培养的国际化水平</w:t>
      </w:r>
      <w:r>
        <w:rPr>
          <w:rFonts w:asciiTheme="minorEastAsia" w:hAnsiTheme="minorEastAsia" w:cs="仿宋_GB2312" w:hint="eastAsia"/>
          <w:color w:val="000000" w:themeColor="text1"/>
          <w:kern w:val="0"/>
          <w:sz w:val="24"/>
          <w:szCs w:val="24"/>
        </w:rPr>
        <w:t>。</w:t>
      </w:r>
    </w:p>
    <w:p w:rsidR="00D41108" w:rsidRPr="00D41108" w:rsidRDefault="00D41108"/>
    <w:sectPr w:rsidR="00D41108" w:rsidRPr="00D411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7C6" w:rsidRDefault="008B27C6" w:rsidP="00D41108">
      <w:r>
        <w:separator/>
      </w:r>
    </w:p>
  </w:endnote>
  <w:endnote w:type="continuationSeparator" w:id="1">
    <w:p w:rsidR="008B27C6" w:rsidRDefault="008B27C6" w:rsidP="00D411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SimSun-ExtB"/>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7C6" w:rsidRDefault="008B27C6" w:rsidP="00D41108">
      <w:r>
        <w:separator/>
      </w:r>
    </w:p>
  </w:footnote>
  <w:footnote w:type="continuationSeparator" w:id="1">
    <w:p w:rsidR="008B27C6" w:rsidRDefault="008B27C6" w:rsidP="00D411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1108"/>
    <w:rsid w:val="008B27C6"/>
    <w:rsid w:val="00D411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41108"/>
    <w:pPr>
      <w:keepNext/>
      <w:keepLines/>
      <w:widowControl/>
      <w:adjustRightInd w:val="0"/>
      <w:snapToGrid w:val="0"/>
      <w:spacing w:beforeLines="50" w:afterLines="50" w:line="400" w:lineRule="exact"/>
      <w:jc w:val="left"/>
      <w:outlineLvl w:val="0"/>
    </w:pPr>
    <w:rPr>
      <w:rFonts w:ascii="Tahoma" w:eastAsia="黑体" w:hAnsi="Tahoma" w:cs="Times New Roman"/>
      <w:bCs/>
      <w:kern w:val="44"/>
      <w:sz w:val="30"/>
      <w:szCs w:val="44"/>
    </w:rPr>
  </w:style>
  <w:style w:type="paragraph" w:styleId="2">
    <w:name w:val="heading 2"/>
    <w:basedOn w:val="a"/>
    <w:next w:val="a"/>
    <w:link w:val="2Char"/>
    <w:autoRedefine/>
    <w:unhideWhenUsed/>
    <w:qFormat/>
    <w:rsid w:val="00D41108"/>
    <w:pPr>
      <w:keepNext/>
      <w:keepLines/>
      <w:widowControl/>
      <w:adjustRightInd w:val="0"/>
      <w:snapToGrid w:val="0"/>
      <w:spacing w:beforeLines="20" w:afterLines="20" w:line="400" w:lineRule="exact"/>
      <w:jc w:val="left"/>
      <w:outlineLvl w:val="1"/>
    </w:pPr>
    <w:rPr>
      <w:rFonts w:asciiTheme="majorHAnsi" w:eastAsia="黑体" w:hAnsiTheme="majorHAnsi" w:cstheme="majorBidi"/>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1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1108"/>
    <w:rPr>
      <w:sz w:val="18"/>
      <w:szCs w:val="18"/>
    </w:rPr>
  </w:style>
  <w:style w:type="paragraph" w:styleId="a4">
    <w:name w:val="footer"/>
    <w:basedOn w:val="a"/>
    <w:link w:val="Char0"/>
    <w:uiPriority w:val="99"/>
    <w:semiHidden/>
    <w:unhideWhenUsed/>
    <w:rsid w:val="00D411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1108"/>
    <w:rPr>
      <w:sz w:val="18"/>
      <w:szCs w:val="18"/>
    </w:rPr>
  </w:style>
  <w:style w:type="paragraph" w:styleId="a5">
    <w:name w:val="Normal (Web)"/>
    <w:basedOn w:val="a"/>
    <w:uiPriority w:val="99"/>
    <w:semiHidden/>
    <w:unhideWhenUsed/>
    <w:rsid w:val="00D4110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41108"/>
    <w:rPr>
      <w:b/>
      <w:bCs/>
    </w:rPr>
  </w:style>
  <w:style w:type="character" w:customStyle="1" w:styleId="1Char">
    <w:name w:val="标题 1 Char"/>
    <w:basedOn w:val="a0"/>
    <w:link w:val="1"/>
    <w:rsid w:val="00D41108"/>
    <w:rPr>
      <w:rFonts w:ascii="Tahoma" w:eastAsia="黑体" w:hAnsi="Tahoma" w:cs="Times New Roman"/>
      <w:bCs/>
      <w:kern w:val="44"/>
      <w:sz w:val="30"/>
      <w:szCs w:val="44"/>
    </w:rPr>
  </w:style>
  <w:style w:type="character" w:customStyle="1" w:styleId="2Char">
    <w:name w:val="标题 2 Char"/>
    <w:basedOn w:val="a0"/>
    <w:link w:val="2"/>
    <w:rsid w:val="00D41108"/>
    <w:rPr>
      <w:rFonts w:asciiTheme="majorHAnsi" w:eastAsia="黑体" w:hAnsiTheme="majorHAnsi" w:cstheme="majorBidi"/>
      <w:bCs/>
      <w:kern w:val="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1323</Words>
  <Characters>7543</Characters>
  <Application>Microsoft Office Word</Application>
  <DocSecurity>0</DocSecurity>
  <Lines>62</Lines>
  <Paragraphs>17</Paragraphs>
  <ScaleCrop>false</ScaleCrop>
  <Company/>
  <LinksUpToDate>false</LinksUpToDate>
  <CharactersWithSpaces>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骆汉</dc:creator>
  <cp:keywords/>
  <dc:description/>
  <cp:lastModifiedBy>骆汉</cp:lastModifiedBy>
  <cp:revision>2</cp:revision>
  <dcterms:created xsi:type="dcterms:W3CDTF">2016-11-03T06:37:00Z</dcterms:created>
  <dcterms:modified xsi:type="dcterms:W3CDTF">2016-11-03T06:44:00Z</dcterms:modified>
</cp:coreProperties>
</file>