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FF44">
      <w:pPr>
        <w:pStyle w:val="2"/>
        <w:rPr>
          <w:b/>
          <w:bCs w:val="0"/>
        </w:rPr>
      </w:pPr>
      <w:bookmarkStart w:id="0" w:name="_GoBack"/>
      <w:r>
        <w:rPr>
          <w:rFonts w:ascii="Calibri" w:hAnsi="Calibri" w:eastAsia="Calibri" w:cs="Calibri"/>
          <w:b/>
          <w:bCs w:val="0"/>
        </w:rPr>
        <w:t xml:space="preserve">AI </w:t>
      </w:r>
      <w:r>
        <w:rPr>
          <w:b/>
          <w:bCs w:val="0"/>
        </w:rPr>
        <w:t>赋能下的乡村妇女经管素养提升实践策划：以扶风社会实践为例</w:t>
      </w:r>
    </w:p>
    <w:bookmarkEnd w:id="0"/>
    <w:p w14:paraId="5F9B6CD8">
      <w:pPr>
        <w:numPr>
          <w:ilvl w:val="0"/>
          <w:numId w:val="1"/>
        </w:numPr>
        <w:spacing w:after="237" w:line="259" w:lineRule="auto"/>
        <w:ind w:hanging="442"/>
        <w:rPr>
          <w:b/>
          <w:bCs/>
        </w:rPr>
      </w:pPr>
      <w:r>
        <w:rPr>
          <w:b/>
          <w:bCs/>
        </w:rPr>
        <w:t>项目背景</w:t>
      </w:r>
    </w:p>
    <w:p w14:paraId="10F48273">
      <w:pPr>
        <w:ind w:left="-15" w:firstLine="420"/>
      </w:pPr>
      <w:r>
        <w:t>随着金融科技的迅速发展，信贷、反诈等金融知识的普及对于乡村妇女的经济赋权和生活安全保障愈发重要。乡村妇女作为乡村发展的重要力量，在家庭经济管理和社区建设中扮演着关键角色。然而，她们在经管素养方面往往存在短板，尤其是在小额信贷、资金时间价值以及金融反诈等关键领域。提升她们的素养不仅能增强其自我发展能力，还能促进家庭经济稳定和乡村经济的可持续发展。</w:t>
      </w:r>
    </w:p>
    <w:p w14:paraId="20E2E264">
      <w:pPr>
        <w:numPr>
          <w:ilvl w:val="0"/>
          <w:numId w:val="1"/>
        </w:numPr>
        <w:spacing w:after="237" w:line="259" w:lineRule="auto"/>
        <w:ind w:hanging="442"/>
        <w:rPr>
          <w:b/>
          <w:bCs/>
        </w:rPr>
      </w:pPr>
      <w:r>
        <w:rPr>
          <w:b/>
          <w:bCs/>
        </w:rPr>
        <w:t>项目目标</w:t>
      </w:r>
    </w:p>
    <w:p w14:paraId="3FF3A1F8">
      <w:pPr>
        <w:spacing w:after="152"/>
        <w:ind w:left="-15" w:right="95" w:firstLine="410"/>
        <w:jc w:val="both"/>
      </w:pPr>
      <w:r>
        <w:t>1.提升乡村妇女的经管素养：通过培训，让乡村妇女掌握小额信贷的基本概念、申请流程、风险管理，理解资金时间价值及其在经济决策中的应用，提高对金融诈骗的识别与防范能力。</w:t>
      </w:r>
    </w:p>
    <w:p w14:paraId="2354A4E9">
      <w:pPr>
        <w:ind w:left="-15" w:firstLine="420"/>
      </w:pPr>
      <w:r>
        <w:t>2.激发乡村妇女的内在潜能与善意：以美育为切入点，挖掘乡村妇女的创造力与审美力，培养积极向上、乐于助人的价值观，促进其在家庭与社区中发挥更积极的作用。</w:t>
      </w:r>
    </w:p>
    <w:p w14:paraId="65C53DA3">
      <w:pPr>
        <w:ind w:left="-15" w:firstLine="420"/>
      </w:pPr>
      <w:r>
        <w:t>3.创新教育模式：将“场景教育（museumeducation）”“教育与心理密不可分” 和“AI辅助教学设计”等先进理念融入乡村教育实践，打造生动、有效且贴合乡村妇女需求的培训项目，为乡村教育振兴提供可借鉴的范例。</w:t>
      </w:r>
    </w:p>
    <w:p w14:paraId="465AE34C">
      <w:pPr>
        <w:numPr>
          <w:ilvl w:val="0"/>
          <w:numId w:val="1"/>
        </w:numPr>
        <w:spacing w:after="234" w:line="259" w:lineRule="auto"/>
        <w:ind w:hanging="442"/>
        <w:rPr>
          <w:b/>
          <w:bCs/>
        </w:rPr>
      </w:pPr>
      <w:r>
        <w:rPr>
          <w:b/>
          <w:bCs/>
        </w:rPr>
        <w:t>策划思路与项目设计</w:t>
      </w:r>
    </w:p>
    <w:p w14:paraId="1EA4F1E1">
      <w:pPr>
        <w:numPr>
          <w:ilvl w:val="1"/>
          <w:numId w:val="1"/>
        </w:numPr>
        <w:spacing w:after="237" w:line="259" w:lineRule="auto"/>
        <w:ind w:hanging="660"/>
      </w:pPr>
      <w:r>
        <w:t>美育引领，激发内在动力</w:t>
      </w:r>
    </w:p>
    <w:p w14:paraId="7EA242FF">
      <w:pPr>
        <w:spacing w:after="152"/>
        <w:ind w:left="-15" w:right="95" w:firstLine="410"/>
        <w:jc w:val="both"/>
      </w:pPr>
      <w:r>
        <w:t>1.美育课程导入：以乡村生活中常见的自然美、人文美为例，引导妇女发现身边的美好。通过艺术欣赏、手工制作等美育活动，激发她们的创造力和自信心，培养积极乐观的生活态度。</w:t>
      </w:r>
    </w:p>
    <w:p w14:paraId="2321A1D8">
      <w:pPr>
        <w:ind w:left="-15" w:firstLine="420"/>
      </w:pPr>
      <w:r>
        <w:t>2.情感与价值观培养：结合美育课程，融入情感教育和价值观引导。鼓励妇女分享生活中的美好瞬间和互助故事，增强其对自身价值的认同感和对他人的关爱之情。</w:t>
      </w:r>
    </w:p>
    <w:p w14:paraId="24D7EBD6">
      <w:pPr>
        <w:numPr>
          <w:ilvl w:val="1"/>
          <w:numId w:val="1"/>
        </w:numPr>
        <w:spacing w:after="237" w:line="259" w:lineRule="auto"/>
        <w:ind w:hanging="660"/>
      </w:pPr>
      <w:r>
        <w:t>场景化教学，强化知识理解与应用</w:t>
      </w:r>
    </w:p>
    <w:p w14:paraId="30C60617">
      <w:pPr>
        <w:ind w:left="-15" w:firstLine="420"/>
      </w:pPr>
      <w:r>
        <w:t>1.场景模拟：打造银行贷款柜台、诈骗电话来电等真实场景，让妇女身临其境地学习小额信贷和反诈知识。</w:t>
      </w:r>
    </w:p>
    <w:p w14:paraId="64FAEE36">
      <w:pPr>
        <w:ind w:left="-15" w:firstLine="420"/>
      </w:pPr>
      <w:r>
        <w:t>在银行贷款场景中，设置贷款申请、利率计算、还款计划制定等环节，使妇女熟悉信贷流程并理解相关金融概念。在诈骗场景模拟中，通过角色扮演，让她们亲身体验诈骗手段，提高警惕性和应对能力。</w:t>
      </w:r>
    </w:p>
    <w:p w14:paraId="32926E35">
      <w:pPr>
        <w:ind w:left="209" w:firstLine="420"/>
      </w:pPr>
      <w:r>
        <w:t>案例分析与讨论：收集乡村地区真实的信贷案例和金融诈骗故事，组织妇女进行分析讨论</w:t>
      </w:r>
      <w:r>
        <w:rPr>
          <w:rFonts w:hint="eastAsia"/>
          <w:lang w:eastAsia="zh-CN"/>
        </w:rPr>
        <w:t>，</w:t>
      </w:r>
      <w:r>
        <w:t>引导妇女思考案例中的决策因素和风险点，总结经验教训，提升她们在实际生活中做出明智金融决策的能力。</w:t>
      </w:r>
    </w:p>
    <w:p w14:paraId="6FE47A0B">
      <w:pPr>
        <w:numPr>
          <w:ilvl w:val="1"/>
          <w:numId w:val="1"/>
        </w:numPr>
        <w:spacing w:after="237" w:line="259" w:lineRule="auto"/>
        <w:ind w:hanging="660"/>
      </w:pPr>
      <w:r>
        <w:t>AI辅助教学设计，提升培训效果</w:t>
      </w:r>
    </w:p>
    <w:p w14:paraId="0D205530">
      <w:pPr>
        <w:ind w:left="-15" w:firstLine="420"/>
      </w:pPr>
      <w:r>
        <w:t>1.个性化学习资源推荐：利用智能学习系统（智能手机小程序），根据妇女的学习进度和掌握情况，为其推荐适合的学习资源，如金融知识短视频、在线课程等。</w:t>
      </w:r>
    </w:p>
    <w:p w14:paraId="762A8023">
      <w:pPr>
        <w:spacing w:after="234" w:line="259" w:lineRule="auto"/>
        <w:ind w:left="-5"/>
      </w:pPr>
      <w:r>
        <w:t>通过学习数据分析，智能调整推荐内容，满足不同妇女的个性化学习需求。</w:t>
      </w:r>
    </w:p>
    <w:p w14:paraId="1C9C3BCB">
      <w:pPr>
        <w:spacing w:after="152"/>
        <w:ind w:left="-15" w:firstLine="410"/>
        <w:jc w:val="both"/>
      </w:pPr>
      <w:r>
        <w:t>2. 智能辅导与答疑：引入智能辅导工具，在妇女学习过程中提供实时答疑和辅导。如在资金时间价值计算等较难理解的知识点上，智能辅导工具可提供详细的步骤解析和实例演示</w:t>
      </w:r>
      <w:r>
        <w:rPr>
          <w:rFonts w:hint="eastAsia"/>
          <w:lang w:eastAsia="zh-CN"/>
        </w:rPr>
        <w:t>，</w:t>
      </w:r>
      <w:r>
        <w:t>提高学习效率，帮助妇女更好地理解和掌握经管知识。</w:t>
      </w:r>
    </w:p>
    <w:p w14:paraId="503F7C8A">
      <w:pPr>
        <w:numPr>
          <w:ilvl w:val="1"/>
          <w:numId w:val="1"/>
        </w:numPr>
        <w:spacing w:after="237" w:line="259" w:lineRule="auto"/>
        <w:ind w:hanging="660"/>
      </w:pPr>
      <w:r>
        <w:t>以“如何做决策”和“激发人善意的管理”为核心，设计培训内容</w:t>
      </w:r>
    </w:p>
    <w:p w14:paraId="55B027D3">
      <w:pPr>
        <w:numPr>
          <w:ilvl w:val="1"/>
          <w:numId w:val="2"/>
        </w:numPr>
        <w:spacing w:after="257" w:line="259" w:lineRule="auto"/>
        <w:ind w:hanging="329"/>
      </w:pPr>
      <w:r>
        <w:t>决策能力培养：在培训中融入决策理论知识，结合金融场景进行演练。</w:t>
      </w:r>
    </w:p>
    <w:p w14:paraId="74CB3FE2">
      <w:pPr>
        <w:spacing w:after="237" w:line="259" w:lineRule="auto"/>
        <w:ind w:left="430"/>
      </w:pPr>
      <w:r>
        <w:t>通过案例分析，使妇女了解不同决策方法和工具在信贷、投资等金融决策中的应用。</w:t>
      </w:r>
    </w:p>
    <w:p w14:paraId="106053FE">
      <w:pPr>
        <w:ind w:left="-5"/>
      </w:pPr>
      <w:r>
        <w:t>组织小组讨论，让妇女分享自己在家庭经济事务中的决策经验和困惑，共同探讨更合理的决策方式。</w:t>
      </w:r>
    </w:p>
    <w:p w14:paraId="01EBF7E3">
      <w:pPr>
        <w:numPr>
          <w:ilvl w:val="1"/>
          <w:numId w:val="2"/>
        </w:numPr>
        <w:spacing w:after="257" w:line="259" w:lineRule="auto"/>
        <w:ind w:hanging="329"/>
      </w:pPr>
      <w:r>
        <w:t>激发善意的管理理念应用：倡导建立互助合作的金融管理模式。</w:t>
      </w:r>
    </w:p>
    <w:p w14:paraId="192F982B">
      <w:pPr>
        <w:ind w:left="-15" w:firstLine="420"/>
      </w:pPr>
      <w:r>
        <w:t>鼓励妇女在社区内部成立互助小组，共同解决资金需求问题，如设立小额信贷互助基金，促进相互支持和资源共享。</w:t>
      </w:r>
    </w:p>
    <w:p w14:paraId="7529EBE4">
      <w:pPr>
        <w:spacing w:after="237" w:line="259" w:lineRule="auto"/>
        <w:ind w:left="-5"/>
        <w:rPr>
          <w:b/>
          <w:bCs/>
        </w:rPr>
      </w:pPr>
      <w:r>
        <w:rPr>
          <w:b/>
          <w:bCs/>
        </w:rPr>
        <w:t>三、项目实施步骤</w:t>
      </w:r>
    </w:p>
    <w:p w14:paraId="3F957B0D">
      <w:pPr>
        <w:ind w:left="-15" w:firstLine="420"/>
      </w:pPr>
      <w:r>
        <w:t>1. 团队组建与培训准备：与带队教师共同招募和组建实践团队，对团队成员进行项目培训，使其熟悉项目内容和教学方法。同时，准备好项目所需的物资，如拍摄设备、美育材料、AI教学工具等。</w:t>
      </w:r>
    </w:p>
    <w:p w14:paraId="05ED9A13">
      <w:pPr>
        <w:ind w:left="-15" w:firstLine="420"/>
      </w:pPr>
      <w:r>
        <w:t>2.乡村调研与需求分析：在进入扶风前，开展线上调研，了解当地乡村妇女的基本情况、教育背景、金融知识水平和需求。</w:t>
      </w:r>
    </w:p>
    <w:p w14:paraId="144B6549">
      <w:pPr>
        <w:ind w:left="-15" w:firstLine="420"/>
      </w:pPr>
      <w:r>
        <w:t>3.实践培训与视频制作：按照项目设计，开展美育课程、场景化教学和AI辅助教学活动。在培训过程中，团队成员负责拍摄视频素材，记录妇女的学习过程和心得体会。视频制作团队定期整理和筛选素材，进行视频剪辑和后期制作，确保视频内容生动、有感染力，能够有效传达项目的核心理念和妇女的成长故事。</w:t>
      </w:r>
    </w:p>
    <w:p w14:paraId="19B4DC96">
      <w:pPr>
        <w:ind w:left="-15" w:firstLine="420"/>
      </w:pPr>
      <w:r>
        <w:t>4.总结与成果展示：培训结束后，组织妇女进行总结分享会，展示她们的学习成果和变化。同时，实践团队对项目进行全面总结，分析项目实施过程中的经验和不足，为今后的类似项目提供参考。</w:t>
      </w:r>
    </w:p>
    <w:p w14:paraId="608190FB">
      <w:pPr>
        <w:spacing w:after="237" w:line="259" w:lineRule="auto"/>
        <w:ind w:left="-5"/>
        <w:rPr>
          <w:b/>
          <w:bCs/>
        </w:rPr>
      </w:pPr>
      <w:r>
        <w:rPr>
          <w:b/>
          <w:bCs/>
        </w:rPr>
        <w:t>五、项目成果与预期影响</w:t>
      </w:r>
    </w:p>
    <w:p w14:paraId="38D1E71F">
      <w:pPr>
        <w:ind w:left="-15" w:firstLine="420"/>
      </w:pPr>
      <w:r>
        <w:t>1.对乡村妇女的影响：通过培训，乡村妇女将在经管素养方面取得显著提升，能够更加自信地参与家庭经济管理和社区事务。她们将更好地利用小额信贷发展家庭产业，合理规划资金，防范金融诈骗风险。同时，美育的开展将丰富她们的精神生活，激发内在潜能和创造力，促进其全面发展。</w:t>
      </w:r>
    </w:p>
    <w:p w14:paraId="50512DBE">
      <w:pPr>
        <w:ind w:left="-15" w:firstLine="420"/>
      </w:pPr>
      <w:r>
        <w:t>2.视频成果的社会价值：制作的视频将作为项目的重要成果，用于宣传金融知识和乡村教育发展。通过在社交媒体、社区活动等场合播放，提高公众对乡村妇女金融教育和经管素养提升的关注度，吸引更多社会资源投入到乡村教育振兴中。</w:t>
      </w:r>
    </w:p>
    <w:p w14:paraId="1316BB8E">
      <w:pPr>
        <w:spacing w:after="152"/>
        <w:ind w:left="-15" w:firstLine="410"/>
        <w:jc w:val="both"/>
      </w:pPr>
      <w:r>
        <w:t>3.对教育模式的创新示范：本项目将“场景教育”“教育与心理密不可分”和“AI 辅助教学设计”等理念成功应用于乡村教育实践，为乡村教育改革提供新的思路和方法。项目总结的经验将进一步推动乡村教育与现代教育技术的融合，助力乡村教育振兴战略的实施。</w:t>
      </w:r>
    </w:p>
    <w:sectPr>
      <w:footnotePr>
        <w:numRestart w:val="eachPage"/>
      </w:footnotePr>
      <w:pgSz w:w="11906" w:h="16838"/>
      <w:pgMar w:top="1525" w:right="1689" w:bottom="1467"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0" w:lineRule="auto"/>
      </w:pPr>
      <w:r>
        <w:separator/>
      </w:r>
    </w:p>
  </w:footnote>
  <w:footnote w:type="continuationSeparator" w:id="1">
    <w:p>
      <w:pPr>
        <w:spacing w:before="0" w:after="0" w:line="33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25154"/>
    <w:multiLevelType w:val="multilevel"/>
    <w:tmpl w:val="4BF25154"/>
    <w:lvl w:ilvl="0" w:tentative="0">
      <w:start w:val="1"/>
      <w:numFmt w:val="ideographDigital"/>
      <w:lvlText w:val="%1、"/>
      <w:lvlJc w:val="left"/>
      <w:pPr>
        <w:ind w:left="442"/>
      </w:pPr>
      <w:rPr>
        <w:rFonts w:ascii="楷体" w:hAnsi="楷体" w:eastAsia="楷体" w:cs="楷体"/>
        <w:b w:val="0"/>
        <w:i w:val="0"/>
        <w:strike w:val="0"/>
        <w:dstrike w:val="0"/>
        <w:color w:val="000000"/>
        <w:sz w:val="22"/>
        <w:szCs w:val="22"/>
        <w:u w:val="none" w:color="000000"/>
        <w:shd w:val="clear" w:color="auto" w:fill="auto"/>
        <w:vertAlign w:val="baseline"/>
      </w:rPr>
    </w:lvl>
    <w:lvl w:ilvl="1" w:tentative="0">
      <w:start w:val="1"/>
      <w:numFmt w:val="ideographDigital"/>
      <w:lvlText w:val="（%2）"/>
      <w:lvlJc w:val="left"/>
      <w:pPr>
        <w:ind w:left="1080"/>
      </w:pPr>
      <w:rPr>
        <w:rFonts w:ascii="楷体" w:hAnsi="楷体" w:eastAsia="楷体" w:cs="楷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500"/>
      </w:pPr>
      <w:rPr>
        <w:rFonts w:ascii="楷体" w:hAnsi="楷体" w:eastAsia="楷体" w:cs="楷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220"/>
      </w:pPr>
      <w:rPr>
        <w:rFonts w:ascii="楷体" w:hAnsi="楷体" w:eastAsia="楷体" w:cs="楷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2940"/>
      </w:pPr>
      <w:rPr>
        <w:rFonts w:ascii="楷体" w:hAnsi="楷体" w:eastAsia="楷体" w:cs="楷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660"/>
      </w:pPr>
      <w:rPr>
        <w:rFonts w:ascii="楷体" w:hAnsi="楷体" w:eastAsia="楷体" w:cs="楷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380"/>
      </w:pPr>
      <w:rPr>
        <w:rFonts w:ascii="楷体" w:hAnsi="楷体" w:eastAsia="楷体" w:cs="楷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100"/>
      </w:pPr>
      <w:rPr>
        <w:rFonts w:ascii="楷体" w:hAnsi="楷体" w:eastAsia="楷体" w:cs="楷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5820"/>
      </w:pPr>
      <w:rPr>
        <w:rFonts w:ascii="楷体" w:hAnsi="楷体" w:eastAsia="楷体" w:cs="楷体"/>
        <w:b w:val="0"/>
        <w:i w:val="0"/>
        <w:strike w:val="0"/>
        <w:dstrike w:val="0"/>
        <w:color w:val="000000"/>
        <w:sz w:val="22"/>
        <w:szCs w:val="22"/>
        <w:u w:val="none" w:color="000000"/>
        <w:shd w:val="clear" w:color="auto" w:fill="auto"/>
        <w:vertAlign w:val="baseline"/>
      </w:rPr>
    </w:lvl>
  </w:abstractNum>
  <w:abstractNum w:abstractNumId="1">
    <w:nsid w:val="63EE6605"/>
    <w:multiLevelType w:val="multilevel"/>
    <w:tmpl w:val="63EE6605"/>
    <w:lvl w:ilvl="0" w:tentative="0">
      <w:start w:val="1"/>
      <w:numFmt w:val="decimal"/>
      <w:lvlText w:val="%1"/>
      <w:lvlJc w:val="left"/>
      <w:pPr>
        <w:ind w:left="360"/>
      </w:pPr>
      <w:rPr>
        <w:rFonts w:ascii="楷体" w:hAnsi="楷体" w:eastAsia="楷体" w:cs="楷体"/>
        <w:b w:val="0"/>
        <w:i w:val="0"/>
        <w:strike w:val="0"/>
        <w:dstrike w:val="0"/>
        <w:color w:val="000000"/>
        <w:sz w:val="22"/>
        <w:szCs w:val="22"/>
        <w:u w:val="none" w:color="000000"/>
        <w:shd w:val="clear" w:color="auto" w:fill="auto"/>
        <w:vertAlign w:val="baseline"/>
      </w:rPr>
    </w:lvl>
    <w:lvl w:ilvl="1" w:tentative="0">
      <w:start w:val="1"/>
      <w:numFmt w:val="decimal"/>
      <w:lvlText w:val="%2."/>
      <w:lvlJc w:val="left"/>
      <w:pPr>
        <w:ind w:left="859"/>
      </w:pPr>
      <w:rPr>
        <w:rFonts w:ascii="楷体" w:hAnsi="楷体" w:eastAsia="楷体" w:cs="楷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610"/>
      </w:pPr>
      <w:rPr>
        <w:rFonts w:ascii="楷体" w:hAnsi="楷体" w:eastAsia="楷体" w:cs="楷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330"/>
      </w:pPr>
      <w:rPr>
        <w:rFonts w:ascii="楷体" w:hAnsi="楷体" w:eastAsia="楷体" w:cs="楷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050"/>
      </w:pPr>
      <w:rPr>
        <w:rFonts w:ascii="楷体" w:hAnsi="楷体" w:eastAsia="楷体" w:cs="楷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770"/>
      </w:pPr>
      <w:rPr>
        <w:rFonts w:ascii="楷体" w:hAnsi="楷体" w:eastAsia="楷体" w:cs="楷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490"/>
      </w:pPr>
      <w:rPr>
        <w:rFonts w:ascii="楷体" w:hAnsi="楷体" w:eastAsia="楷体" w:cs="楷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210"/>
      </w:pPr>
      <w:rPr>
        <w:rFonts w:ascii="楷体" w:hAnsi="楷体" w:eastAsia="楷体" w:cs="楷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5930"/>
      </w:pPr>
      <w:rPr>
        <w:rFonts w:ascii="楷体" w:hAnsi="楷体" w:eastAsia="楷体" w:cs="楷体"/>
        <w:b w:val="0"/>
        <w:i w:val="0"/>
        <w:strike w:val="0"/>
        <w:dstrike w:val="0"/>
        <w:color w:val="000000"/>
        <w:sz w:val="22"/>
        <w:szCs w:val="22"/>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F6"/>
    <w:rsid w:val="006A2FF6"/>
    <w:rsid w:val="00AC453B"/>
    <w:rsid w:val="00EC73A3"/>
    <w:rsid w:val="7AC0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1" w:line="330" w:lineRule="auto"/>
      <w:ind w:left="10" w:hanging="10"/>
    </w:pPr>
    <w:rPr>
      <w:rFonts w:ascii="楷体" w:hAnsi="楷体" w:eastAsia="楷体" w:cs="楷体"/>
      <w:color w:val="000000"/>
      <w:kern w:val="2"/>
      <w:sz w:val="22"/>
      <w:szCs w:val="22"/>
      <w:lang w:val="en-US" w:eastAsia="zh-CN" w:bidi="ar-SA"/>
    </w:rPr>
  </w:style>
  <w:style w:type="paragraph" w:styleId="2">
    <w:name w:val="heading 1"/>
    <w:next w:val="1"/>
    <w:link w:val="7"/>
    <w:qFormat/>
    <w:uiPriority w:val="9"/>
    <w:pPr>
      <w:keepNext/>
      <w:keepLines/>
      <w:spacing w:after="410" w:line="259" w:lineRule="auto"/>
      <w:ind w:left="60"/>
      <w:outlineLvl w:val="0"/>
    </w:pPr>
    <w:rPr>
      <w:rFonts w:ascii="宋体" w:hAnsi="宋体" w:eastAsia="宋体" w:cs="宋体"/>
      <w:color w:val="000000"/>
      <w:kern w:val="2"/>
      <w:sz w:val="28"/>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标题 1 字符"/>
    <w:link w:val="2"/>
    <w:qFormat/>
    <w:uiPriority w:val="0"/>
    <w:rPr>
      <w:rFonts w:ascii="宋体" w:hAnsi="宋体" w:eastAsia="宋体" w:cs="宋体"/>
      <w:color w:val="000000"/>
      <w:sz w:val="28"/>
    </w:rPr>
  </w:style>
  <w:style w:type="paragraph" w:customStyle="1" w:styleId="8">
    <w:name w:val="footnote description"/>
    <w:next w:val="1"/>
    <w:link w:val="9"/>
    <w:qFormat/>
    <w:uiPriority w:val="0"/>
    <w:pPr>
      <w:spacing w:line="259" w:lineRule="auto"/>
    </w:pPr>
    <w:rPr>
      <w:rFonts w:ascii="宋体" w:hAnsi="宋体" w:eastAsia="宋体" w:cs="宋体"/>
      <w:color w:val="000000"/>
      <w:kern w:val="2"/>
      <w:sz w:val="18"/>
      <w:szCs w:val="22"/>
      <w:lang w:val="en-US" w:eastAsia="zh-CN" w:bidi="ar-SA"/>
    </w:rPr>
  </w:style>
  <w:style w:type="character" w:customStyle="1" w:styleId="9">
    <w:name w:val="footnote description Char"/>
    <w:link w:val="8"/>
    <w:qFormat/>
    <w:uiPriority w:val="0"/>
    <w:rPr>
      <w:rFonts w:ascii="宋体" w:hAnsi="宋体" w:eastAsia="宋体" w:cs="宋体"/>
      <w:color w:val="000000"/>
      <w:sz w:val="18"/>
    </w:rPr>
  </w:style>
  <w:style w:type="character" w:customStyle="1" w:styleId="10">
    <w:name w:val="footnote mark"/>
    <w:qFormat/>
    <w:uiPriority w:val="0"/>
    <w:rPr>
      <w:rFonts w:ascii="Calibri" w:hAnsi="Calibri" w:eastAsia="Calibri" w:cs="Calibri"/>
      <w:color w:val="000000"/>
      <w:sz w:val="18"/>
      <w:vertAlign w:val="superscript"/>
    </w:rPr>
  </w:style>
  <w:style w:type="character" w:customStyle="1" w:styleId="11">
    <w:name w:val="页眉 字符"/>
    <w:basedOn w:val="6"/>
    <w:link w:val="4"/>
    <w:qFormat/>
    <w:uiPriority w:val="99"/>
    <w:rPr>
      <w:rFonts w:ascii="楷体" w:hAnsi="楷体" w:eastAsia="楷体" w:cs="楷体"/>
      <w:color w:val="000000"/>
      <w:sz w:val="18"/>
      <w:szCs w:val="18"/>
    </w:rPr>
  </w:style>
  <w:style w:type="character" w:customStyle="1" w:styleId="12">
    <w:name w:val="页脚 字符"/>
    <w:basedOn w:val="6"/>
    <w:link w:val="3"/>
    <w:qFormat/>
    <w:uiPriority w:val="99"/>
    <w:rPr>
      <w:rFonts w:ascii="楷体" w:hAnsi="楷体" w:eastAsia="楷体" w:cs="楷体"/>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4340</Words>
  <Characters>4409</Characters>
  <Lines>31</Lines>
  <Paragraphs>8</Paragraphs>
  <TotalTime>1</TotalTime>
  <ScaleCrop>false</ScaleCrop>
  <LinksUpToDate>false</LinksUpToDate>
  <CharactersWithSpaces>4417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2025-07-22T09:03:00Z</dcterms:created>
  <dc:creator>YaoLiLi</dc:creator>
  <cp:lastModifiedBy>lemon  leisure</cp:lastModifiedBy>
  <dcterms:modified xsi:type="dcterms:W3CDTF">2025-07-22T09:05:32Z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eyJoZGlkIjoiNmQ0NmMzNjk5NjljMjFhOGY1MjJmODMyZGQyYzM5MWYiLCJ1c2VySWQiOiI2Mzg4MjUyOTMifQ==</vt:lpwstr>
  </property>
  <property fmtid="{D5CDD505-2E9C-101B-9397-08002B2CF9AE}" pid="3" name="KSOProductBuildVer">
    <vt:lpwstr>2052-12.1.0.21915</vt:lpwstr>
  </property>
  <property fmtid="{D5CDD505-2E9C-101B-9397-08002B2CF9AE}" pid="4" name="ICV">
    <vt:lpwstr>597EC16084274F769CD29A842F16B6E0_13</vt:lpwstr>
  </property>
</Properties>
</file>